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F24" w:rsidRDefault="00475F24"/>
    <w:p w:rsidR="00BF5AE0" w:rsidRPr="00BF5AE0" w:rsidRDefault="00BF5AE0" w:rsidP="00BF5AE0">
      <w:pPr>
        <w:shd w:val="clear" w:color="auto" w:fill="FFFFFF"/>
        <w:spacing w:before="330" w:after="165" w:line="240" w:lineRule="auto"/>
        <w:outlineLvl w:val="0"/>
        <w:rPr>
          <w:rFonts w:ascii="inherit" w:eastAsia="Times New Roman" w:hAnsi="inherit" w:cs="Times New Roman"/>
          <w:color w:val="000000"/>
          <w:kern w:val="36"/>
          <w:sz w:val="48"/>
          <w:szCs w:val="48"/>
          <w:lang w:eastAsia="de-CH"/>
        </w:rPr>
      </w:pPr>
      <w:r w:rsidRPr="00BF5AE0">
        <w:rPr>
          <w:rFonts w:ascii="inherit" w:eastAsia="Times New Roman" w:hAnsi="inherit" w:cs="Times New Roman"/>
          <w:color w:val="000000"/>
          <w:kern w:val="36"/>
          <w:sz w:val="48"/>
          <w:szCs w:val="48"/>
          <w:lang w:eastAsia="de-CH"/>
        </w:rPr>
        <w:t>Bundesrat setzt Verordnungsänderung zur Umsetzung der Solaroffensive in Kraft</w:t>
      </w:r>
    </w:p>
    <w:p w:rsidR="00BF5AE0" w:rsidRPr="00BF5AE0" w:rsidRDefault="00BF5AE0" w:rsidP="00BF5AE0">
      <w:pPr>
        <w:shd w:val="clear" w:color="auto" w:fill="FFFFFF"/>
        <w:spacing w:after="326" w:line="240" w:lineRule="auto"/>
        <w:rPr>
          <w:rFonts w:ascii="Helvetica" w:eastAsia="Times New Roman" w:hAnsi="Helvetica" w:cs="Times New Roman"/>
          <w:color w:val="454545"/>
          <w:sz w:val="23"/>
          <w:szCs w:val="23"/>
          <w:lang w:eastAsia="de-CH"/>
        </w:rPr>
      </w:pPr>
      <w:r w:rsidRPr="00BF5AE0">
        <w:rPr>
          <w:rFonts w:ascii="Helvetica" w:eastAsia="Times New Roman" w:hAnsi="Helvetica" w:cs="Times New Roman"/>
          <w:b/>
          <w:bCs/>
          <w:color w:val="454545"/>
          <w:sz w:val="23"/>
          <w:szCs w:val="23"/>
          <w:lang w:eastAsia="de-CH"/>
        </w:rPr>
        <w:t>Bern, 17.03.2023 - Der Bundesrat hat an seiner Sitzung vom 17. März 2023 Änderungen der Energieverordnung, der Energieförderungsverordnung und der Stromversorgungsverordnung beschlossen. Diese Änderungen treten per 1. April 2023 in Kraft. Sie ermöglichen die Umsetzung der vom Parlament beschlossenen Änderungen des Energiegesetzes, die seit dem 1. Oktober 2022 in Kraft sind (Dringliche Massnahmen zur kurzfristigen Bereitstellung einer sicheren Stromversorgung im Winter, Solaroffensive).</w:t>
      </w:r>
    </w:p>
    <w:p w:rsidR="00BF5AE0" w:rsidRPr="00BF5AE0" w:rsidRDefault="00BF5AE0" w:rsidP="00BF5AE0">
      <w:pPr>
        <w:shd w:val="clear" w:color="auto" w:fill="FFFFFF"/>
        <w:spacing w:after="326" w:line="240" w:lineRule="auto"/>
        <w:rPr>
          <w:rFonts w:ascii="Helvetica" w:eastAsia="Times New Roman" w:hAnsi="Helvetica" w:cs="Times New Roman"/>
          <w:color w:val="454545"/>
          <w:sz w:val="23"/>
          <w:szCs w:val="23"/>
          <w:lang w:eastAsia="de-CH"/>
        </w:rPr>
      </w:pPr>
      <w:r w:rsidRPr="00BF5AE0">
        <w:rPr>
          <w:rFonts w:ascii="Helvetica" w:eastAsia="Times New Roman" w:hAnsi="Helvetica" w:cs="Times New Roman"/>
          <w:color w:val="454545"/>
          <w:sz w:val="23"/>
          <w:szCs w:val="23"/>
          <w:lang w:eastAsia="de-CH"/>
        </w:rPr>
        <w:t xml:space="preserve">Mit den Änderungen des Energiegesetzes erleichtert das Parlament die Bewilligung von Photovoltaik-Grossanlagen und legt für diese eine Förderung mit einer </w:t>
      </w:r>
      <w:r w:rsidRPr="00126C30">
        <w:rPr>
          <w:rFonts w:ascii="Helvetica" w:eastAsia="Times New Roman" w:hAnsi="Helvetica" w:cs="Times New Roman"/>
          <w:color w:val="454545"/>
          <w:sz w:val="23"/>
          <w:szCs w:val="23"/>
          <w:highlight w:val="yellow"/>
          <w:lang w:eastAsia="de-CH"/>
        </w:rPr>
        <w:t>Einmalvergütung von bis zu 60 Prozent der</w:t>
      </w:r>
      <w:r w:rsidRPr="00BF5AE0">
        <w:rPr>
          <w:rFonts w:ascii="Helvetica" w:eastAsia="Times New Roman" w:hAnsi="Helvetica" w:cs="Times New Roman"/>
          <w:color w:val="454545"/>
          <w:sz w:val="23"/>
          <w:szCs w:val="23"/>
          <w:lang w:eastAsia="de-CH"/>
        </w:rPr>
        <w:t xml:space="preserve"> </w:t>
      </w:r>
      <w:r w:rsidRPr="00126C30">
        <w:rPr>
          <w:rFonts w:ascii="Helvetica" w:eastAsia="Times New Roman" w:hAnsi="Helvetica" w:cs="Times New Roman"/>
          <w:color w:val="454545"/>
          <w:sz w:val="23"/>
          <w:szCs w:val="23"/>
          <w:highlight w:val="yellow"/>
          <w:lang w:eastAsia="de-CH"/>
        </w:rPr>
        <w:t>Investitionskosten</w:t>
      </w:r>
      <w:r w:rsidRPr="00BF5AE0">
        <w:rPr>
          <w:rFonts w:ascii="Helvetica" w:eastAsia="Times New Roman" w:hAnsi="Helvetica" w:cs="Times New Roman"/>
          <w:color w:val="454545"/>
          <w:sz w:val="23"/>
          <w:szCs w:val="23"/>
          <w:lang w:eastAsia="de-CH"/>
        </w:rPr>
        <w:t xml:space="preserve"> fest. Diese Erleichterungen gelten, bis diese neuen Photovoltaik-Grossanlagen schweizweit eine jährliche Gesamtproduktion von maximal 2 Terawattstunden (TWh) erlauben. Die Änderungen des Energiegesetzes sind befristet bis 2025.</w:t>
      </w:r>
    </w:p>
    <w:p w:rsidR="00BF5AE0" w:rsidRPr="00BF5AE0" w:rsidRDefault="00BF5AE0" w:rsidP="00BF5AE0">
      <w:pPr>
        <w:shd w:val="clear" w:color="auto" w:fill="FFFFFF"/>
        <w:spacing w:after="326" w:line="240" w:lineRule="auto"/>
        <w:rPr>
          <w:rFonts w:ascii="Helvetica" w:eastAsia="Times New Roman" w:hAnsi="Helvetica" w:cs="Times New Roman"/>
          <w:color w:val="454545"/>
          <w:sz w:val="23"/>
          <w:szCs w:val="23"/>
          <w:lang w:eastAsia="de-CH"/>
        </w:rPr>
      </w:pPr>
      <w:r w:rsidRPr="00BF5AE0">
        <w:rPr>
          <w:rFonts w:ascii="Helvetica" w:eastAsia="Times New Roman" w:hAnsi="Helvetica" w:cs="Times New Roman"/>
          <w:color w:val="454545"/>
          <w:sz w:val="23"/>
          <w:szCs w:val="23"/>
          <w:lang w:eastAsia="de-CH"/>
        </w:rPr>
        <w:t>Die am 17. März 2023 vom Bundesrat verabschiedeten Anpassungen der Energieverordnung, der Energieförderungsverordnung und der Stromversorgungsverordnung betreffen die Umsetzung von Artikel 71</w:t>
      </w:r>
      <w:r w:rsidRPr="00BF5AE0">
        <w:rPr>
          <w:rFonts w:ascii="Helvetica" w:eastAsia="Times New Roman" w:hAnsi="Helvetica" w:cs="Times New Roman"/>
          <w:i/>
          <w:iCs/>
          <w:color w:val="454545"/>
          <w:sz w:val="23"/>
          <w:szCs w:val="23"/>
          <w:lang w:eastAsia="de-CH"/>
        </w:rPr>
        <w:t>a</w:t>
      </w:r>
      <w:r w:rsidRPr="00BF5AE0">
        <w:rPr>
          <w:rFonts w:ascii="Helvetica" w:eastAsia="Times New Roman" w:hAnsi="Helvetica" w:cs="Times New Roman"/>
          <w:color w:val="454545"/>
          <w:sz w:val="23"/>
          <w:szCs w:val="23"/>
          <w:lang w:eastAsia="de-CH"/>
        </w:rPr>
        <w:t> des Energiegesetzes (Produktion von zusätzlicher Elektrizität aus Photovol</w:t>
      </w:r>
      <w:r w:rsidRPr="00BF5AE0">
        <w:rPr>
          <w:rFonts w:ascii="Helvetica" w:eastAsia="Times New Roman" w:hAnsi="Helvetica" w:cs="Times New Roman"/>
          <w:color w:val="454545"/>
          <w:sz w:val="23"/>
          <w:szCs w:val="23"/>
          <w:lang w:eastAsia="de-CH"/>
        </w:rPr>
        <w:softHyphen/>
        <w:t>taik-Grossanlagen). Das UVEK hatte dazu vom 5. bis 16. Dezember 2022 eine öffentliche Konsultation durchgeführt. Der Bundesrat hat in der Verordnung nun folgende Grundsätze festgehalten:</w:t>
      </w:r>
    </w:p>
    <w:p w:rsidR="00BF5AE0" w:rsidRPr="00BF5AE0" w:rsidRDefault="00BF5AE0" w:rsidP="00BF5AE0">
      <w:pPr>
        <w:shd w:val="clear" w:color="auto" w:fill="FFFFFF"/>
        <w:spacing w:after="326" w:line="240" w:lineRule="auto"/>
        <w:rPr>
          <w:rFonts w:ascii="Helvetica" w:eastAsia="Times New Roman" w:hAnsi="Helvetica" w:cs="Times New Roman"/>
          <w:color w:val="454545"/>
          <w:sz w:val="23"/>
          <w:szCs w:val="23"/>
          <w:lang w:eastAsia="de-CH"/>
        </w:rPr>
      </w:pPr>
      <w:r w:rsidRPr="00BF5AE0">
        <w:rPr>
          <w:rFonts w:ascii="Helvetica" w:eastAsia="Times New Roman" w:hAnsi="Helvetica" w:cs="Times New Roman"/>
          <w:color w:val="454545"/>
          <w:sz w:val="23"/>
          <w:szCs w:val="23"/>
          <w:lang w:eastAsia="de-CH"/>
        </w:rPr>
        <w:t>Zubau-Schwellenwert 2 TWh: Die Schwelle der 2 TWh bestimmt sich nach der Produktion der rechtskräftig bewilligten Projekte. Die Kantone melden dem Bundesamt für Energie (BFE) laufend die geplanten Projekte und deren Stand von der öffentlichen Auflage bis zur Inbetriebnahme. Das BFE führt eine öffentlich zugängliche und laufend aktualisierte Liste mit diesen Informationen.</w:t>
      </w:r>
    </w:p>
    <w:p w:rsidR="00BF5AE0" w:rsidRPr="00BF5AE0" w:rsidRDefault="00BF5AE0" w:rsidP="00BF5AE0">
      <w:pPr>
        <w:shd w:val="clear" w:color="auto" w:fill="FFFFFF"/>
        <w:spacing w:after="326" w:line="240" w:lineRule="auto"/>
        <w:rPr>
          <w:rFonts w:ascii="Helvetica" w:eastAsia="Times New Roman" w:hAnsi="Helvetica" w:cs="Times New Roman"/>
          <w:color w:val="454545"/>
          <w:sz w:val="23"/>
          <w:szCs w:val="23"/>
          <w:lang w:eastAsia="de-CH"/>
        </w:rPr>
      </w:pPr>
      <w:r w:rsidRPr="00BF5AE0">
        <w:rPr>
          <w:rFonts w:ascii="Helvetica" w:eastAsia="Times New Roman" w:hAnsi="Helvetica" w:cs="Times New Roman"/>
          <w:color w:val="454545"/>
          <w:sz w:val="23"/>
          <w:szCs w:val="23"/>
          <w:lang w:eastAsia="de-CH"/>
        </w:rPr>
        <w:t>Ausschluss von Fruchtfolgeflächen: Anlagen auf Fruchtfolgeflächen sind aus dem Geltungsbereich von Artikel 71</w:t>
      </w:r>
      <w:r w:rsidRPr="00BF5AE0">
        <w:rPr>
          <w:rFonts w:ascii="Helvetica" w:eastAsia="Times New Roman" w:hAnsi="Helvetica" w:cs="Times New Roman"/>
          <w:i/>
          <w:iCs/>
          <w:color w:val="454545"/>
          <w:sz w:val="23"/>
          <w:szCs w:val="23"/>
          <w:lang w:eastAsia="de-CH"/>
        </w:rPr>
        <w:t>a</w:t>
      </w:r>
      <w:r w:rsidRPr="00BF5AE0">
        <w:rPr>
          <w:rFonts w:ascii="Helvetica" w:eastAsia="Times New Roman" w:hAnsi="Helvetica" w:cs="Times New Roman"/>
          <w:color w:val="454545"/>
          <w:sz w:val="23"/>
          <w:szCs w:val="23"/>
          <w:lang w:eastAsia="de-CH"/>
        </w:rPr>
        <w:t> ausgeschlossen. Damit wird verhindert, dass diese PV-Anlagen die Lebensmittelproduktion konkurrenzieren.</w:t>
      </w:r>
    </w:p>
    <w:p w:rsidR="00BF5AE0" w:rsidRPr="00BF5AE0" w:rsidRDefault="00BF5AE0" w:rsidP="00BF5AE0">
      <w:pPr>
        <w:shd w:val="clear" w:color="auto" w:fill="FFFFFF"/>
        <w:spacing w:after="326" w:line="240" w:lineRule="auto"/>
        <w:rPr>
          <w:rFonts w:ascii="Helvetica" w:eastAsia="Times New Roman" w:hAnsi="Helvetica" w:cs="Times New Roman"/>
          <w:color w:val="454545"/>
          <w:sz w:val="23"/>
          <w:szCs w:val="23"/>
          <w:lang w:eastAsia="de-CH"/>
        </w:rPr>
      </w:pPr>
      <w:r w:rsidRPr="00126C30">
        <w:rPr>
          <w:rFonts w:ascii="Helvetica" w:eastAsia="Times New Roman" w:hAnsi="Helvetica" w:cs="Times New Roman"/>
          <w:color w:val="454545"/>
          <w:sz w:val="23"/>
          <w:szCs w:val="23"/>
          <w:highlight w:val="yellow"/>
          <w:lang w:eastAsia="de-CH"/>
        </w:rPr>
        <w:t>Baubewilligung: Die Baubewilligung muss durch den Kanton erfolgen</w:t>
      </w:r>
      <w:r w:rsidRPr="00BF5AE0">
        <w:rPr>
          <w:rFonts w:ascii="Helvetica" w:eastAsia="Times New Roman" w:hAnsi="Helvetica" w:cs="Times New Roman"/>
          <w:color w:val="454545"/>
          <w:sz w:val="23"/>
          <w:szCs w:val="23"/>
          <w:lang w:eastAsia="de-CH"/>
        </w:rPr>
        <w:t xml:space="preserve">. Dazu muss die </w:t>
      </w:r>
      <w:r w:rsidRPr="00126C30">
        <w:rPr>
          <w:rFonts w:ascii="Helvetica" w:eastAsia="Times New Roman" w:hAnsi="Helvetica" w:cs="Times New Roman"/>
          <w:color w:val="454545"/>
          <w:sz w:val="23"/>
          <w:szCs w:val="23"/>
          <w:highlight w:val="yellow"/>
          <w:lang w:eastAsia="de-CH"/>
        </w:rPr>
        <w:t>Zustimmung der</w:t>
      </w:r>
      <w:r w:rsidRPr="00BF5AE0">
        <w:rPr>
          <w:rFonts w:ascii="Helvetica" w:eastAsia="Times New Roman" w:hAnsi="Helvetica" w:cs="Times New Roman"/>
          <w:color w:val="454545"/>
          <w:sz w:val="23"/>
          <w:szCs w:val="23"/>
          <w:lang w:eastAsia="de-CH"/>
        </w:rPr>
        <w:t xml:space="preserve"> </w:t>
      </w:r>
      <w:r w:rsidRPr="00126C30">
        <w:rPr>
          <w:rFonts w:ascii="Helvetica" w:eastAsia="Times New Roman" w:hAnsi="Helvetica" w:cs="Times New Roman"/>
          <w:color w:val="454545"/>
          <w:sz w:val="23"/>
          <w:szCs w:val="23"/>
          <w:highlight w:val="yellow"/>
          <w:lang w:eastAsia="de-CH"/>
        </w:rPr>
        <w:t>Standortgemeinde</w:t>
      </w:r>
      <w:r w:rsidRPr="00BF5AE0">
        <w:rPr>
          <w:rFonts w:ascii="Helvetica" w:eastAsia="Times New Roman" w:hAnsi="Helvetica" w:cs="Times New Roman"/>
          <w:color w:val="454545"/>
          <w:sz w:val="23"/>
          <w:szCs w:val="23"/>
          <w:lang w:eastAsia="de-CH"/>
        </w:rPr>
        <w:t xml:space="preserve"> und der </w:t>
      </w:r>
      <w:r w:rsidRPr="00126C30">
        <w:rPr>
          <w:rFonts w:ascii="Helvetica" w:eastAsia="Times New Roman" w:hAnsi="Helvetica" w:cs="Times New Roman"/>
          <w:color w:val="454545"/>
          <w:sz w:val="23"/>
          <w:szCs w:val="23"/>
          <w:highlight w:val="yellow"/>
          <w:lang w:eastAsia="de-CH"/>
        </w:rPr>
        <w:t>Grundeigentümerinnen und -eigentümern</w:t>
      </w:r>
      <w:r w:rsidRPr="00BF5AE0">
        <w:rPr>
          <w:rFonts w:ascii="Helvetica" w:eastAsia="Times New Roman" w:hAnsi="Helvetica" w:cs="Times New Roman"/>
          <w:color w:val="454545"/>
          <w:sz w:val="23"/>
          <w:szCs w:val="23"/>
          <w:lang w:eastAsia="de-CH"/>
        </w:rPr>
        <w:t xml:space="preserve"> vorliegen. Im Rahmen der Baubewilligung muss der Kanton auch die </w:t>
      </w:r>
      <w:r w:rsidRPr="00126C30">
        <w:rPr>
          <w:rFonts w:ascii="Helvetica" w:eastAsia="Times New Roman" w:hAnsi="Helvetica" w:cs="Times New Roman"/>
          <w:color w:val="454545"/>
          <w:sz w:val="23"/>
          <w:szCs w:val="23"/>
          <w:highlight w:val="yellow"/>
          <w:lang w:eastAsia="de-CH"/>
        </w:rPr>
        <w:t>Auflagen bezüglich des Rückbaus</w:t>
      </w:r>
      <w:r w:rsidRPr="00BF5AE0">
        <w:rPr>
          <w:rFonts w:ascii="Helvetica" w:eastAsia="Times New Roman" w:hAnsi="Helvetica" w:cs="Times New Roman"/>
          <w:color w:val="454545"/>
          <w:sz w:val="23"/>
          <w:szCs w:val="23"/>
          <w:lang w:eastAsia="de-CH"/>
        </w:rPr>
        <w:t xml:space="preserve"> festlegen. Für die elektrische Erschliessung ist eine Bewilligung durch das eidgenössische Starkstrominspektorat oder das Bundesamt für Energie erforderlich. Die kantonale Bewilligungsbehörde stimmt sich mit den Bundesbehörden ab.</w:t>
      </w:r>
      <w:bookmarkStart w:id="0" w:name="_GoBack"/>
      <w:bookmarkEnd w:id="0"/>
    </w:p>
    <w:p w:rsidR="00BF5AE0" w:rsidRPr="00BF5AE0" w:rsidRDefault="00BF5AE0" w:rsidP="00BF5AE0">
      <w:pPr>
        <w:shd w:val="clear" w:color="auto" w:fill="FFFFFF"/>
        <w:spacing w:after="326" w:line="240" w:lineRule="auto"/>
        <w:rPr>
          <w:rFonts w:ascii="Helvetica" w:eastAsia="Times New Roman" w:hAnsi="Helvetica" w:cs="Times New Roman"/>
          <w:color w:val="454545"/>
          <w:sz w:val="23"/>
          <w:szCs w:val="23"/>
          <w:lang w:eastAsia="de-CH"/>
        </w:rPr>
      </w:pPr>
      <w:r w:rsidRPr="00BF5AE0">
        <w:rPr>
          <w:rFonts w:ascii="Helvetica" w:eastAsia="Times New Roman" w:hAnsi="Helvetica" w:cs="Times New Roman"/>
          <w:color w:val="454545"/>
          <w:sz w:val="23"/>
          <w:szCs w:val="23"/>
          <w:lang w:eastAsia="de-CH"/>
        </w:rPr>
        <w:t>Höhe der Einmalvergütung: Ein Gesuch kann gestellt werden, wenn eine rechtskräftige Baubewilligung für das Projekt vorliegt. Der Höchstbetrag der Einmalvergütung liegt bei 60 Prozent der anrechenbaren Investitionskosten. Um von der Förderung zu profitieren, müssen bis Ende 2025 mindestens zehn Prozent der erwarteten Produktion der gesamten geplanten Anlage oder 10 Gigawattstunden ins Netz eingespeist werden. Die Frist bis zur vollständigen Inbetriebnahme der Anlagen läuft bis Ende 2030. Für diejenigen Projekte, die diese Kriterien nicht erfüllen, steht die normale Einmalvergütung für Photovoltaik-Anlagen zur Verfügung.</w:t>
      </w:r>
    </w:p>
    <w:p w:rsidR="00BF5AE0" w:rsidRPr="00BF5AE0" w:rsidRDefault="00BF5AE0" w:rsidP="00BF5AE0">
      <w:pPr>
        <w:shd w:val="clear" w:color="auto" w:fill="FFFFFF"/>
        <w:spacing w:after="326" w:line="240" w:lineRule="auto"/>
        <w:rPr>
          <w:rFonts w:ascii="Helvetica" w:eastAsia="Times New Roman" w:hAnsi="Helvetica" w:cs="Times New Roman"/>
          <w:color w:val="454545"/>
          <w:sz w:val="23"/>
          <w:szCs w:val="23"/>
          <w:lang w:eastAsia="de-CH"/>
        </w:rPr>
      </w:pPr>
      <w:r w:rsidRPr="00BF5AE0">
        <w:rPr>
          <w:rFonts w:ascii="Helvetica" w:eastAsia="Times New Roman" w:hAnsi="Helvetica" w:cs="Times New Roman"/>
          <w:color w:val="454545"/>
          <w:sz w:val="23"/>
          <w:szCs w:val="23"/>
          <w:lang w:eastAsia="de-CH"/>
        </w:rPr>
        <w:t>Netzverstärkungen: Die Eidgenössische Elektrizitätskommission ist für die Bewilligung der Vergütung der notwendigen Netzverstärkungen für Photovoltaik-Grossanlagen zuständig. Diese Kosten sind Teil der Systemdienstleistungen der nationalen Netzgesellschaft Swissgrid.</w:t>
      </w:r>
    </w:p>
    <w:p w:rsidR="00BF5AE0" w:rsidRPr="00BF5AE0" w:rsidRDefault="00126C30" w:rsidP="00BF5AE0">
      <w:pPr>
        <w:shd w:val="clear" w:color="auto" w:fill="FFFFFF"/>
        <w:spacing w:after="326" w:line="240" w:lineRule="auto"/>
        <w:rPr>
          <w:rFonts w:ascii="Helvetica" w:eastAsia="Times New Roman" w:hAnsi="Helvetica" w:cs="Times New Roman"/>
          <w:color w:val="454545"/>
          <w:sz w:val="21"/>
          <w:szCs w:val="21"/>
          <w:lang w:eastAsia="de-CH"/>
        </w:rPr>
      </w:pPr>
      <w:r>
        <w:rPr>
          <w:rFonts w:ascii="Helvetica" w:eastAsia="Times New Roman" w:hAnsi="Helvetica" w:cs="Times New Roman"/>
          <w:color w:val="454545"/>
          <w:sz w:val="21"/>
          <w:szCs w:val="21"/>
          <w:lang w:eastAsia="de-CH"/>
        </w:rPr>
        <w:pict>
          <v:rect id="_x0000_i1025" style="width:0;height:.75pt" o:hralign="center" o:hrstd="t" o:hr="t" fillcolor="#a0a0a0" stroked="f"/>
        </w:pict>
      </w:r>
    </w:p>
    <w:sectPr w:rsidR="00BF5AE0" w:rsidRPr="00BF5AE0" w:rsidSect="00BF5A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E0"/>
    <w:rsid w:val="00126C30"/>
    <w:rsid w:val="002D56B1"/>
    <w:rsid w:val="00475F24"/>
    <w:rsid w:val="00BF5A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123B4-F0B9-4325-AAE3-6E3F1CAA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sz w:val="24"/>
        <w:szCs w:val="24"/>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BF5A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D56B1"/>
    <w:pPr>
      <w:framePr w:w="4320" w:h="2160" w:hRule="exact" w:hSpace="141" w:wrap="auto" w:hAnchor="page" w:xAlign="center" w:yAlign="bottom"/>
      <w:spacing w:after="0" w:line="240" w:lineRule="auto"/>
      <w:ind w:left="1"/>
    </w:pPr>
    <w:rPr>
      <w:rFonts w:eastAsiaTheme="majorEastAsia"/>
    </w:rPr>
  </w:style>
  <w:style w:type="paragraph" w:styleId="Umschlagabsenderadresse">
    <w:name w:val="envelope return"/>
    <w:basedOn w:val="Standard"/>
    <w:uiPriority w:val="99"/>
    <w:semiHidden/>
    <w:unhideWhenUsed/>
    <w:rsid w:val="002D56B1"/>
    <w:pPr>
      <w:spacing w:after="0" w:line="240" w:lineRule="auto"/>
    </w:pPr>
    <w:rPr>
      <w:rFonts w:eastAsiaTheme="majorEastAsia"/>
      <w:sz w:val="20"/>
      <w:szCs w:val="20"/>
    </w:rPr>
  </w:style>
  <w:style w:type="character" w:customStyle="1" w:styleId="berschrift1Zchn">
    <w:name w:val="Überschrift 1 Zchn"/>
    <w:basedOn w:val="Absatz-Standardschriftart"/>
    <w:link w:val="berschrift1"/>
    <w:uiPriority w:val="9"/>
    <w:rsid w:val="00BF5AE0"/>
    <w:rPr>
      <w:rFonts w:ascii="Times New Roman" w:eastAsia="Times New Roman" w:hAnsi="Times New Roman" w:cs="Times New Roman"/>
      <w:b/>
      <w:bCs/>
      <w:kern w:val="36"/>
      <w:sz w:val="48"/>
      <w:szCs w:val="48"/>
      <w:lang w:eastAsia="de-CH"/>
    </w:rPr>
  </w:style>
  <w:style w:type="paragraph" w:styleId="StandardWeb">
    <w:name w:val="Normal (Web)"/>
    <w:basedOn w:val="Standard"/>
    <w:uiPriority w:val="99"/>
    <w:semiHidden/>
    <w:unhideWhenUsed/>
    <w:rsid w:val="00BF5AE0"/>
    <w:pPr>
      <w:spacing w:before="100" w:beforeAutospacing="1" w:after="100" w:afterAutospacing="1" w:line="240" w:lineRule="auto"/>
    </w:pPr>
    <w:rPr>
      <w:rFonts w:ascii="Times New Roman" w:eastAsia="Times New Roman" w:hAnsi="Times New Roman" w:cs="Times New Roman"/>
      <w:lang w:eastAsia="de-CH"/>
    </w:rPr>
  </w:style>
  <w:style w:type="character" w:styleId="Fett">
    <w:name w:val="Strong"/>
    <w:basedOn w:val="Absatz-Standardschriftart"/>
    <w:uiPriority w:val="22"/>
    <w:qFormat/>
    <w:rsid w:val="00BF5A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413557">
      <w:bodyDiv w:val="1"/>
      <w:marLeft w:val="0"/>
      <w:marRight w:val="0"/>
      <w:marTop w:val="0"/>
      <w:marBottom w:val="0"/>
      <w:divBdr>
        <w:top w:val="none" w:sz="0" w:space="0" w:color="auto"/>
        <w:left w:val="none" w:sz="0" w:space="0" w:color="auto"/>
        <w:bottom w:val="none" w:sz="0" w:space="0" w:color="auto"/>
        <w:right w:val="none" w:sz="0" w:space="0" w:color="auto"/>
      </w:divBdr>
      <w:divsChild>
        <w:div w:id="1494029133">
          <w:marLeft w:val="0"/>
          <w:marRight w:val="0"/>
          <w:marTop w:val="0"/>
          <w:marBottom w:val="0"/>
          <w:divBdr>
            <w:top w:val="none" w:sz="0" w:space="0" w:color="auto"/>
            <w:left w:val="none" w:sz="0" w:space="0" w:color="auto"/>
            <w:bottom w:val="none" w:sz="0" w:space="0" w:color="auto"/>
            <w:right w:val="none" w:sz="0" w:space="0" w:color="auto"/>
          </w:divBdr>
        </w:div>
        <w:div w:id="47341574">
          <w:marLeft w:val="0"/>
          <w:marRight w:val="0"/>
          <w:marTop w:val="312"/>
          <w:marBottom w:val="32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2973</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Besitzer</dc:creator>
  <cp:keywords/>
  <dc:description/>
  <cp:lastModifiedBy>Besitzer</cp:lastModifiedBy>
  <cp:revision>2</cp:revision>
  <dcterms:created xsi:type="dcterms:W3CDTF">2023-09-11T14:54:00Z</dcterms:created>
  <dcterms:modified xsi:type="dcterms:W3CDTF">2023-09-12T09:04:00Z</dcterms:modified>
</cp:coreProperties>
</file>